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2717"/>
        <w:gridCol w:w="2632"/>
        <w:gridCol w:w="5497"/>
        <w:tblGridChange w:id="0">
          <w:tblGrid>
            <w:gridCol w:w="2717"/>
            <w:gridCol w:w="2632"/>
            <w:gridCol w:w="549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4162.010.26.1.5372-2025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NESTOR FAENRY MILLER PEREZ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17.592.022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Definir lineamientos estratégicos que promuevan el Desarrollo Institucional,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Verificar el cumplimiento y/ó participar de las actividades en pro del desarrollo del sistema de gestión de calidad, el sistema de gestión ambiental y el sistema de gestión de seguridad y salud en el trabajo.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Planear y diligenciar el formato de parrilla de los monitores deportivo de la Secretaria del Deporte y la Recreación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Ejecuté  las actividades presentando informe con lo desarrollado en el periodo de consolidación de equipos técnicos y la formalización de la base de datos logística y metodológica del programa Cali Élite en el sector paralímpico y sordolímpico.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Definí  los lineamientos que promueven el desarrollo institucional con la asistencia  a la mesa de trabajo convocada por la Coordinadora Técnica y el Gestor de Calidad, articulando acciones para el fortalecimiento de los procesos institucionales y el alistamiento de lineamientos estratégicos.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Gestioné  el seguimiento técnico mediante las visitas de acompañamiento realizadas al entrenador Carlos Amaya, de la disciplina de Paranatación de Selección Cali, verificando el desarrollo de los procesos deportivos y el cumplimiento de los lineamientos establecidos por el programa.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5E">
            <w:pPr>
              <w:widowControl w:val="1"/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Asistí a mesa de trabajo donde verifiqué  el cumplimiento de los lineamientos del Sistema de Gestión de la Calidad, mediante la revisión y control de la información.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Diligencié  el documento de parrilla correspondiente a los puntos de atención de los monitores, consolidando la información requerida para su publicación y garantizando la organización adecuada de la programación operativa.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 el seguimiento técnico mediante las visitas de acompañamiento realizadas al entrenador Luis estrada, de la disciplina de billar adaptado de Selección Cali, verificando el desarrollo de los procesos deportivos y el cumplimiento de los lineamientos establecidos por el programa.</w:t>
            </w:r>
          </w:p>
        </w:tc>
      </w:tr>
      <w:tr>
        <w:trPr>
          <w:cantSplit w:val="0"/>
          <w:trHeight w:val="132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16"/>
                  <w:szCs w:val="16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https://drive.google.com/drive/folders/1uif_oib0s1NT_BTtfkypIvocxQSVmGvs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9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-1090928</wp:posOffset>
                  </wp:positionH>
                  <wp:positionV relativeFrom="paragraph">
                    <wp:posOffset>29845</wp:posOffset>
                  </wp:positionV>
                  <wp:extent cx="990600" cy="733425"/>
                  <wp:effectExtent b="0" l="0" r="0" t="0"/>
                  <wp:wrapSquare wrapText="bothSides" distB="0" distT="0" distL="114300" distR="114300"/>
                  <wp:docPr id="167154715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33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943107" cy="676369"/>
                  <wp:effectExtent b="0" l="0" r="0" t="0"/>
                  <wp:wrapNone/>
                  <wp:docPr id="1671547149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107" cy="6763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09/dic/2025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0D255E"/>
    <w:rPr>
      <w:color w:val="0563c1" w:themeColor="hyperlink"/>
      <w:u w:val="single"/>
    </w:rPr>
  </w:style>
  <w:style w:type="character" w:styleId="vortaltextbox" w:customStyle="1">
    <w:name w:val="vortaltextbox"/>
    <w:basedOn w:val="Fuentedeprrafopredeter"/>
    <w:rsid w:val="008B2A8E"/>
  </w:style>
  <w:style w:type="character" w:styleId="vortaltextarea" w:customStyle="1">
    <w:name w:val="vortaltextarea"/>
    <w:basedOn w:val="Fuentedeprrafopredeter"/>
    <w:rsid w:val="008B2A8E"/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4A5C80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A5C80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f_oib0s1NT_BTtfkypIvocxQSVmGvs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8a+5TwsZA+BB6iIu5BDFToijRg==">CgMxLjA4AHIhMTdDNDdEQkJqNmpiNjJmbWVVX1hrZVdaaTJBb2c5d1pN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2025-06-07T12:37:00Z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